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584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1521"/>
        <w:gridCol w:w="1779"/>
        <w:gridCol w:w="1975"/>
        <w:gridCol w:w="2541"/>
      </w:tblGrid>
      <w:tr w:rsidR="002A4721" w:rsidTr="00B946F7">
        <w:trPr>
          <w:trHeight w:val="1620"/>
        </w:trPr>
        <w:tc>
          <w:tcPr>
            <w:tcW w:w="2061" w:type="dxa"/>
          </w:tcPr>
          <w:p w:rsidR="00DA23A1" w:rsidRDefault="00DA23A1" w:rsidP="002A4721"/>
          <w:p w:rsidR="00DA23A1" w:rsidRDefault="00DA23A1" w:rsidP="002A4721"/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7DC3081" wp14:editId="453D9257">
                  <wp:extent cx="1356970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48" cy="475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23A1" w:rsidRDefault="00DA23A1" w:rsidP="002A4721"/>
        </w:tc>
        <w:tc>
          <w:tcPr>
            <w:tcW w:w="1626" w:type="dxa"/>
          </w:tcPr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  <w:r w:rsidRPr="00DA23A1">
              <w:rPr>
                <w:noProof/>
                <w:lang w:eastAsia="en-IN"/>
              </w:rPr>
              <w:drawing>
                <wp:inline distT="0" distB="0" distL="0" distR="0" wp14:anchorId="27CAE5E7" wp14:editId="2DE28CCF">
                  <wp:extent cx="828675" cy="831032"/>
                  <wp:effectExtent l="0" t="0" r="0" b="7620"/>
                  <wp:docPr id="3" name="Picture 3" descr="G:\Ecard\Logo &amp; Sign\icc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Ecard\Logo &amp; Sign\icc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65" cy="8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3A1" w:rsidRDefault="00DA23A1" w:rsidP="002A4721"/>
        </w:tc>
        <w:tc>
          <w:tcPr>
            <w:tcW w:w="1861" w:type="dxa"/>
          </w:tcPr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  <w:r w:rsidRPr="00DA23A1">
              <w:rPr>
                <w:noProof/>
                <w:lang w:eastAsia="en-IN"/>
              </w:rPr>
              <w:drawing>
                <wp:inline distT="0" distB="0" distL="0" distR="0" wp14:anchorId="0E7FE4D2" wp14:editId="5B79FA25">
                  <wp:extent cx="992505" cy="895117"/>
                  <wp:effectExtent l="0" t="0" r="0" b="0"/>
                  <wp:docPr id="2" name="Picture 2" descr="G:\Ecard\Logo &amp; Sign\CID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Ecard\Logo &amp; Sign\CID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35" cy="92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3A1" w:rsidRDefault="00DA23A1" w:rsidP="002A4721"/>
        </w:tc>
        <w:tc>
          <w:tcPr>
            <w:tcW w:w="1975" w:type="dxa"/>
          </w:tcPr>
          <w:p w:rsidR="00B946F7" w:rsidRDefault="00B946F7" w:rsidP="002A4721"/>
          <w:p w:rsidR="00B946F7" w:rsidRDefault="00B946F7" w:rsidP="002A4721"/>
          <w:p w:rsidR="00B946F7" w:rsidRDefault="00B946F7" w:rsidP="002A4721">
            <w:r>
              <w:object w:dxaOrig="9255" w:dyaOrig="5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60pt" o:ole="">
                  <v:imagedata r:id="rId10" o:title=""/>
                </v:shape>
                <o:OLEObject Type="Embed" ProgID="PBrush" ShapeID="_x0000_i1025" DrawAspect="Content" ObjectID="_1823594955" r:id="rId11"/>
              </w:object>
            </w:r>
          </w:p>
          <w:p w:rsidR="00DA23A1" w:rsidRDefault="00DA23A1" w:rsidP="002A4721"/>
        </w:tc>
        <w:tc>
          <w:tcPr>
            <w:tcW w:w="2617" w:type="dxa"/>
          </w:tcPr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B946F7" w:rsidRDefault="00B946F7" w:rsidP="002A4721">
            <w:pPr>
              <w:rPr>
                <w:noProof/>
                <w:lang w:val="en-US"/>
              </w:rPr>
            </w:pPr>
          </w:p>
          <w:p w:rsidR="00DA23A1" w:rsidRDefault="005609CB" w:rsidP="002A4721">
            <w:r w:rsidRPr="00DA23A1">
              <w:rPr>
                <w:noProof/>
                <w:lang w:eastAsia="en-IN"/>
              </w:rPr>
              <w:drawing>
                <wp:inline distT="0" distB="0" distL="0" distR="0" wp14:anchorId="25F13990" wp14:editId="323A1272">
                  <wp:extent cx="1476375" cy="533284"/>
                  <wp:effectExtent l="0" t="0" r="0" b="635"/>
                  <wp:docPr id="5" name="Picture 5" descr="G:\Ecard\Logo &amp; Sign\CIAC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Ecard\Logo &amp; Sign\CIAC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66" cy="54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3A1" w:rsidRPr="00B946F7" w:rsidRDefault="00DA23A1" w:rsidP="00B946F7">
      <w:r>
        <w:t xml:space="preserve">                             </w:t>
      </w:r>
      <w:r w:rsidRPr="001F16FF">
        <w:rPr>
          <w:rFonts w:ascii="Times New Roman" w:hAnsi="Times New Roman" w:cs="Times New Roman"/>
          <w:b/>
        </w:rPr>
        <w:t>Terms of reference for nomination of Professors of Practice</w:t>
      </w:r>
    </w:p>
    <w:p w:rsidR="001F16FF" w:rsidRPr="001F16FF" w:rsidRDefault="001F16FF" w:rsidP="00282615">
      <w:pPr>
        <w:jc w:val="center"/>
        <w:rPr>
          <w:rFonts w:ascii="Times New Roman" w:hAnsi="Times New Roman" w:cs="Times New Roman"/>
          <w:b/>
        </w:rPr>
      </w:pPr>
    </w:p>
    <w:p w:rsidR="00770E08" w:rsidRPr="001F16FF" w:rsidRDefault="00DA23A1" w:rsidP="00DA23A1">
      <w:p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  <w:b/>
        </w:rPr>
        <w:t>Preamble:</w:t>
      </w:r>
      <w:r w:rsidRPr="001F16FF">
        <w:rPr>
          <w:rFonts w:ascii="Times New Roman" w:hAnsi="Times New Roman" w:cs="Times New Roman"/>
        </w:rPr>
        <w:t xml:space="preserve"> </w:t>
      </w:r>
    </w:p>
    <w:p w:rsidR="00DA23A1" w:rsidRPr="001F16FF" w:rsidRDefault="00DA23A1" w:rsidP="00DA23A1">
      <w:pPr>
        <w:tabs>
          <w:tab w:val="left" w:pos="2520"/>
        </w:tabs>
        <w:jc w:val="both"/>
        <w:rPr>
          <w:rFonts w:ascii="Times New Roman" w:hAnsi="Times New Roman" w:cs="Times New Roman"/>
          <w:b/>
        </w:rPr>
      </w:pPr>
      <w:r w:rsidRPr="001F16FF">
        <w:rPr>
          <w:rFonts w:ascii="Times New Roman" w:hAnsi="Times New Roman" w:cs="Times New Roman"/>
          <w:b/>
        </w:rPr>
        <w:t xml:space="preserve">The major impediment being faced by </w:t>
      </w:r>
      <w:r w:rsidR="00143544" w:rsidRPr="001F16FF">
        <w:rPr>
          <w:rFonts w:ascii="Times New Roman" w:hAnsi="Times New Roman" w:cs="Times New Roman"/>
          <w:b/>
        </w:rPr>
        <w:t xml:space="preserve">Infrastructure </w:t>
      </w:r>
      <w:proofErr w:type="gramStart"/>
      <w:r w:rsidR="00143544" w:rsidRPr="001F16FF">
        <w:rPr>
          <w:rFonts w:ascii="Times New Roman" w:hAnsi="Times New Roman" w:cs="Times New Roman"/>
          <w:b/>
        </w:rPr>
        <w:t>Industry</w:t>
      </w:r>
      <w:r w:rsidRPr="001F16FF">
        <w:rPr>
          <w:rFonts w:ascii="Times New Roman" w:hAnsi="Times New Roman" w:cs="Times New Roman"/>
          <w:b/>
        </w:rPr>
        <w:t>,</w:t>
      </w:r>
      <w:proofErr w:type="gramEnd"/>
      <w:r w:rsidRPr="001F16FF">
        <w:rPr>
          <w:rFonts w:ascii="Times New Roman" w:hAnsi="Times New Roman" w:cs="Times New Roman"/>
          <w:b/>
        </w:rPr>
        <w:t xml:space="preserve"> is the lack of adequacy of our Human Resource</w:t>
      </w:r>
      <w:r w:rsidR="002141FE" w:rsidRPr="001F16FF">
        <w:rPr>
          <w:rFonts w:ascii="Times New Roman" w:hAnsi="Times New Roman" w:cs="Times New Roman"/>
          <w:b/>
        </w:rPr>
        <w:t xml:space="preserve"> both in quantity &amp; quality</w:t>
      </w:r>
      <w:r w:rsidRPr="001F16FF">
        <w:rPr>
          <w:rFonts w:ascii="Times New Roman" w:hAnsi="Times New Roman" w:cs="Times New Roman"/>
          <w:b/>
        </w:rPr>
        <w:t xml:space="preserve">. </w:t>
      </w:r>
      <w:proofErr w:type="gramStart"/>
      <w:r w:rsidRPr="001F16FF">
        <w:rPr>
          <w:rFonts w:ascii="Times New Roman" w:hAnsi="Times New Roman" w:cs="Times New Roman"/>
          <w:b/>
        </w:rPr>
        <w:t xml:space="preserve">To alleviate this impediment, which has resulted in acute time &amp; cost </w:t>
      </w:r>
      <w:r w:rsidR="00143544" w:rsidRPr="001F16FF">
        <w:rPr>
          <w:rFonts w:ascii="Times New Roman" w:hAnsi="Times New Roman" w:cs="Times New Roman"/>
          <w:b/>
        </w:rPr>
        <w:t>overrun</w:t>
      </w:r>
      <w:r w:rsidRPr="001F16FF">
        <w:rPr>
          <w:rFonts w:ascii="Times New Roman" w:hAnsi="Times New Roman" w:cs="Times New Roman"/>
          <w:b/>
        </w:rPr>
        <w:t xml:space="preserve"> in execution of our projects, and heavy fi</w:t>
      </w:r>
      <w:bookmarkStart w:id="0" w:name="_GoBack"/>
      <w:bookmarkEnd w:id="0"/>
      <w:r w:rsidRPr="001F16FF">
        <w:rPr>
          <w:rFonts w:ascii="Times New Roman" w:hAnsi="Times New Roman" w:cs="Times New Roman"/>
          <w:b/>
        </w:rPr>
        <w:t xml:space="preserve">nancial burden on all our </w:t>
      </w:r>
      <w:r w:rsidR="00143544" w:rsidRPr="001F16FF">
        <w:rPr>
          <w:rFonts w:ascii="Times New Roman" w:hAnsi="Times New Roman" w:cs="Times New Roman"/>
          <w:b/>
        </w:rPr>
        <w:t>constituents (</w:t>
      </w:r>
      <w:r w:rsidRPr="001F16FF">
        <w:rPr>
          <w:rFonts w:ascii="Times New Roman" w:hAnsi="Times New Roman" w:cs="Times New Roman"/>
          <w:b/>
        </w:rPr>
        <w:t xml:space="preserve">Project owner, consultants &amp; construction companies) </w:t>
      </w:r>
      <w:r w:rsidR="00282615" w:rsidRPr="001F16FF">
        <w:rPr>
          <w:rFonts w:ascii="Times New Roman" w:hAnsi="Times New Roman" w:cs="Times New Roman"/>
          <w:b/>
        </w:rPr>
        <w:t xml:space="preserve">We </w:t>
      </w:r>
      <w:r w:rsidR="00143544" w:rsidRPr="001F16FF">
        <w:rPr>
          <w:rFonts w:ascii="Times New Roman" w:hAnsi="Times New Roman" w:cs="Times New Roman"/>
          <w:b/>
        </w:rPr>
        <w:t>are inviting</w:t>
      </w:r>
      <w:r w:rsidRPr="001F16FF">
        <w:rPr>
          <w:rFonts w:ascii="Times New Roman" w:hAnsi="Times New Roman" w:cs="Times New Roman"/>
          <w:b/>
        </w:rPr>
        <w:t xml:space="preserve"> </w:t>
      </w:r>
      <w:r w:rsidR="00282615" w:rsidRPr="001F16FF">
        <w:rPr>
          <w:rFonts w:ascii="Times New Roman" w:hAnsi="Times New Roman" w:cs="Times New Roman"/>
          <w:b/>
        </w:rPr>
        <w:t xml:space="preserve">experts in various </w:t>
      </w:r>
      <w:r w:rsidR="00281AD2" w:rsidRPr="001F16FF">
        <w:rPr>
          <w:rFonts w:ascii="Times New Roman" w:hAnsi="Times New Roman" w:cs="Times New Roman"/>
          <w:b/>
        </w:rPr>
        <w:t>streams to</w:t>
      </w:r>
      <w:r w:rsidRPr="001F16FF">
        <w:rPr>
          <w:rFonts w:ascii="Times New Roman" w:hAnsi="Times New Roman" w:cs="Times New Roman"/>
          <w:b/>
        </w:rPr>
        <w:t xml:space="preserve"> participate in the noble National initiative of imparting the knowledge &amp; experiences to the younger lot to make them ready not only for our domestic market, but to earn our fair share of Project exports to other Nations.</w:t>
      </w:r>
      <w:proofErr w:type="gramEnd"/>
    </w:p>
    <w:p w:rsidR="00DA23A1" w:rsidRPr="001F16FF" w:rsidRDefault="00282615" w:rsidP="00DA23A1">
      <w:p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Experts</w:t>
      </w:r>
      <w:r w:rsidR="00DA23A1" w:rsidRPr="001F16FF">
        <w:rPr>
          <w:rFonts w:ascii="Times New Roman" w:hAnsi="Times New Roman" w:cs="Times New Roman"/>
        </w:rPr>
        <w:t xml:space="preserve"> are aware that many markets are waiting for us to expand our work arenas &amp; generate value added employment to our young persons</w:t>
      </w:r>
      <w:r w:rsidRPr="001F16FF">
        <w:rPr>
          <w:rFonts w:ascii="Times New Roman" w:hAnsi="Times New Roman" w:cs="Times New Roman"/>
        </w:rPr>
        <w:t xml:space="preserve"> &amp; therefore </w:t>
      </w:r>
      <w:r w:rsidR="00DA23A1" w:rsidRPr="001F16FF">
        <w:rPr>
          <w:rFonts w:ascii="Times New Roman" w:hAnsi="Times New Roman" w:cs="Times New Roman"/>
        </w:rPr>
        <w:t xml:space="preserve">CIDC, as the apex organization together with our other associate Councils like ICC, CIAC, ECI &amp; </w:t>
      </w:r>
      <w:proofErr w:type="spellStart"/>
      <w:r w:rsidR="00DA23A1" w:rsidRPr="001F16FF">
        <w:rPr>
          <w:rFonts w:ascii="Times New Roman" w:hAnsi="Times New Roman" w:cs="Times New Roman"/>
        </w:rPr>
        <w:t>IndSTT</w:t>
      </w:r>
      <w:proofErr w:type="spellEnd"/>
      <w:r w:rsidR="00DA23A1" w:rsidRPr="001F16FF">
        <w:rPr>
          <w:rFonts w:ascii="Times New Roman" w:hAnsi="Times New Roman" w:cs="Times New Roman"/>
        </w:rPr>
        <w:t>, are taking up many path breaking initiatives</w:t>
      </w:r>
      <w:r w:rsidRPr="001F16FF">
        <w:rPr>
          <w:rFonts w:ascii="Times New Roman" w:hAnsi="Times New Roman" w:cs="Times New Roman"/>
        </w:rPr>
        <w:t xml:space="preserve"> &amp; are looking forward to create a National Database of Professors of Practice</w:t>
      </w:r>
      <w:r w:rsidR="00DA23A1" w:rsidRPr="001F16FF">
        <w:rPr>
          <w:rFonts w:ascii="Times New Roman" w:hAnsi="Times New Roman" w:cs="Times New Roman"/>
        </w:rPr>
        <w:t>.</w:t>
      </w:r>
    </w:p>
    <w:p w:rsidR="00282615" w:rsidRPr="001F16FF" w:rsidRDefault="00282615" w:rsidP="00282615">
      <w:pPr>
        <w:pStyle w:val="ListParagraph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To develop a cadre of </w:t>
      </w:r>
      <w:r w:rsidR="00143544" w:rsidRPr="001F16FF">
        <w:rPr>
          <w:rFonts w:ascii="Times New Roman" w:hAnsi="Times New Roman" w:cs="Times New Roman"/>
        </w:rPr>
        <w:t>engineering Legal</w:t>
      </w:r>
      <w:r w:rsidRPr="001F16FF">
        <w:rPr>
          <w:rFonts w:ascii="Times New Roman" w:hAnsi="Times New Roman" w:cs="Times New Roman"/>
        </w:rPr>
        <w:t xml:space="preserve">, Financial &amp; </w:t>
      </w:r>
      <w:r w:rsidR="002141FE" w:rsidRPr="001F16FF">
        <w:rPr>
          <w:rFonts w:ascii="Times New Roman" w:hAnsi="Times New Roman" w:cs="Times New Roman"/>
        </w:rPr>
        <w:t xml:space="preserve">Regulatory </w:t>
      </w:r>
      <w:r w:rsidR="00143544" w:rsidRPr="001F16FF">
        <w:rPr>
          <w:rFonts w:ascii="Times New Roman" w:hAnsi="Times New Roman" w:cs="Times New Roman"/>
        </w:rPr>
        <w:t>Experts, termed</w:t>
      </w:r>
      <w:r w:rsidRPr="001F16FF">
        <w:rPr>
          <w:rFonts w:ascii="Times New Roman" w:hAnsi="Times New Roman" w:cs="Times New Roman"/>
        </w:rPr>
        <w:t xml:space="preserve"> as “Professor of Practice (POP)” who will be equipped with the knowledge and skills of the industry practices and nuances of </w:t>
      </w:r>
      <w:proofErr w:type="gramStart"/>
      <w:r w:rsidRPr="001F16FF">
        <w:rPr>
          <w:rFonts w:ascii="Times New Roman" w:hAnsi="Times New Roman" w:cs="Times New Roman"/>
        </w:rPr>
        <w:t>Pedagogy</w:t>
      </w:r>
      <w:r w:rsidR="00AF4C7E">
        <w:rPr>
          <w:rFonts w:ascii="Times New Roman" w:hAnsi="Times New Roman" w:cs="Times New Roman"/>
        </w:rPr>
        <w:t xml:space="preserve"> </w:t>
      </w:r>
      <w:r w:rsidRPr="001F16FF">
        <w:rPr>
          <w:rFonts w:ascii="Times New Roman" w:hAnsi="Times New Roman" w:cs="Times New Roman"/>
        </w:rPr>
        <w:t>which</w:t>
      </w:r>
      <w:proofErr w:type="gramEnd"/>
      <w:r w:rsidRPr="001F16FF">
        <w:rPr>
          <w:rFonts w:ascii="Times New Roman" w:hAnsi="Times New Roman" w:cs="Times New Roman"/>
        </w:rPr>
        <w:t xml:space="preserve"> shall be evaluated by a Jury</w:t>
      </w:r>
      <w:r w:rsidR="00BA30E9" w:rsidRPr="001F16FF">
        <w:rPr>
          <w:rFonts w:ascii="Times New Roman" w:hAnsi="Times New Roman" w:cs="Times New Roman"/>
        </w:rPr>
        <w:t>, after an orientation training program to be conducted by CIDC</w:t>
      </w:r>
      <w:r w:rsidRPr="001F16FF">
        <w:rPr>
          <w:rFonts w:ascii="Times New Roman" w:hAnsi="Times New Roman" w:cs="Times New Roman"/>
        </w:rPr>
        <w:t>.</w:t>
      </w:r>
    </w:p>
    <w:p w:rsidR="00282615" w:rsidRPr="001F16FF" w:rsidRDefault="00282615" w:rsidP="00282615">
      <w:pPr>
        <w:pStyle w:val="ListParagraph"/>
        <w:tabs>
          <w:tab w:val="left" w:pos="2520"/>
        </w:tabs>
        <w:jc w:val="both"/>
        <w:rPr>
          <w:rFonts w:ascii="Times New Roman" w:hAnsi="Times New Roman" w:cs="Times New Roman"/>
        </w:rPr>
      </w:pPr>
    </w:p>
    <w:p w:rsidR="00282615" w:rsidRPr="001F16FF" w:rsidRDefault="00282615" w:rsidP="00282615">
      <w:pPr>
        <w:pStyle w:val="ListParagraph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To assemble the POPs on the National Database o</w:t>
      </w:r>
      <w:r w:rsidR="00DC72D4" w:rsidRPr="001F16FF">
        <w:rPr>
          <w:rFonts w:ascii="Times New Roman" w:hAnsi="Times New Roman" w:cs="Times New Roman"/>
        </w:rPr>
        <w:t>f</w:t>
      </w:r>
      <w:r w:rsidRPr="001F16FF">
        <w:rPr>
          <w:rFonts w:ascii="Times New Roman" w:hAnsi="Times New Roman" w:cs="Times New Roman"/>
        </w:rPr>
        <w:t xml:space="preserve"> Professors of Practice (POP).</w:t>
      </w:r>
      <w:r w:rsidR="00DC72D4" w:rsidRPr="001F16FF">
        <w:rPr>
          <w:rFonts w:ascii="Times New Roman" w:hAnsi="Times New Roman" w:cs="Times New Roman"/>
        </w:rPr>
        <w:t xml:space="preserve"> </w:t>
      </w:r>
    </w:p>
    <w:p w:rsidR="00282615" w:rsidRPr="001F16FF" w:rsidRDefault="00282615" w:rsidP="00282615">
      <w:pPr>
        <w:pStyle w:val="ListParagraph"/>
        <w:rPr>
          <w:rFonts w:ascii="Times New Roman" w:hAnsi="Times New Roman" w:cs="Times New Roman"/>
        </w:rPr>
      </w:pPr>
    </w:p>
    <w:p w:rsidR="00DC72D4" w:rsidRPr="001F16FF" w:rsidRDefault="00DC72D4" w:rsidP="00DC72D4">
      <w:p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  <w:b/>
        </w:rPr>
        <w:t xml:space="preserve">The responsibilities of POPs post inclusion in the National Database shall </w:t>
      </w:r>
      <w:proofErr w:type="gramStart"/>
      <w:r w:rsidR="00B946F7" w:rsidRPr="001F16FF">
        <w:rPr>
          <w:rFonts w:ascii="Times New Roman" w:hAnsi="Times New Roman" w:cs="Times New Roman"/>
          <w:b/>
        </w:rPr>
        <w:t>be</w:t>
      </w:r>
      <w:r w:rsidR="00B946F7" w:rsidRPr="001F16FF">
        <w:rPr>
          <w:rFonts w:ascii="Times New Roman" w:hAnsi="Times New Roman" w:cs="Times New Roman"/>
        </w:rPr>
        <w:t>:</w:t>
      </w:r>
      <w:proofErr w:type="gramEnd"/>
      <w:r w:rsidR="00B946F7" w:rsidRPr="001F16FF">
        <w:rPr>
          <w:rFonts w:ascii="Times New Roman" w:hAnsi="Times New Roman" w:cs="Times New Roman"/>
        </w:rPr>
        <w:t xml:space="preserve"> -</w:t>
      </w:r>
    </w:p>
    <w:p w:rsidR="00282615" w:rsidRPr="001F16FF" w:rsidRDefault="00DC72D4" w:rsidP="00DC72D4">
      <w:pPr>
        <w:pStyle w:val="ListParagraph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To</w:t>
      </w:r>
      <w:r w:rsidR="00282615" w:rsidRPr="001F16FF">
        <w:rPr>
          <w:rFonts w:ascii="Times New Roman" w:hAnsi="Times New Roman" w:cs="Times New Roman"/>
        </w:rPr>
        <w:t xml:space="preserve"> identify and incorporate necessary modifications/ additions/ alternations in the training contents, in the context of present global scenario for the Indian Infrastructure Industry.</w:t>
      </w:r>
    </w:p>
    <w:p w:rsidR="00282615" w:rsidRPr="001F16FF" w:rsidRDefault="00282615" w:rsidP="00282615">
      <w:pPr>
        <w:pStyle w:val="ListParagraph"/>
        <w:rPr>
          <w:rFonts w:ascii="Times New Roman" w:hAnsi="Times New Roman" w:cs="Times New Roman"/>
        </w:rPr>
      </w:pPr>
    </w:p>
    <w:p w:rsidR="00282615" w:rsidRPr="001F16FF" w:rsidRDefault="00282615" w:rsidP="00DC72D4">
      <w:pPr>
        <w:pStyle w:val="ListParagraph"/>
        <w:numPr>
          <w:ilvl w:val="0"/>
          <w:numId w:val="2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To promote efficient dissemination of Technological advancements to further the sustainability mission of India through education</w:t>
      </w:r>
      <w:r w:rsidR="002141FE" w:rsidRPr="001F16FF">
        <w:rPr>
          <w:rFonts w:ascii="Times New Roman" w:hAnsi="Times New Roman" w:cs="Times New Roman"/>
        </w:rPr>
        <w:t xml:space="preserve"> &amp; training, </w:t>
      </w:r>
      <w:proofErr w:type="gramStart"/>
      <w:r w:rsidR="002141FE" w:rsidRPr="001F16FF">
        <w:rPr>
          <w:rFonts w:ascii="Times New Roman" w:hAnsi="Times New Roman" w:cs="Times New Roman"/>
        </w:rPr>
        <w:t>specially</w:t>
      </w:r>
      <w:proofErr w:type="gramEnd"/>
      <w:r w:rsidR="002141FE" w:rsidRPr="001F16FF">
        <w:rPr>
          <w:rFonts w:ascii="Times New Roman" w:hAnsi="Times New Roman" w:cs="Times New Roman"/>
        </w:rPr>
        <w:t xml:space="preserve"> to working personnel.</w:t>
      </w:r>
    </w:p>
    <w:p w:rsidR="00282615" w:rsidRPr="001F16FF" w:rsidRDefault="00282615" w:rsidP="00282615">
      <w:pPr>
        <w:pStyle w:val="ListParagraph"/>
        <w:rPr>
          <w:rFonts w:ascii="Times New Roman" w:hAnsi="Times New Roman" w:cs="Times New Roman"/>
        </w:rPr>
      </w:pPr>
    </w:p>
    <w:p w:rsidR="00282615" w:rsidRPr="001F16FF" w:rsidRDefault="00282615" w:rsidP="00282615">
      <w:pPr>
        <w:pStyle w:val="ListParagraph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.To recommend evolving the bidding &amp; contractual systems for promoting usage of advanced techniques, thereby reducing Carbon footprints through education.</w:t>
      </w:r>
    </w:p>
    <w:p w:rsidR="002141FE" w:rsidRPr="001F16FF" w:rsidRDefault="002141FE" w:rsidP="00282615">
      <w:pPr>
        <w:pStyle w:val="ListParagraph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proofErr w:type="gramStart"/>
      <w:r w:rsidRPr="001F16FF">
        <w:rPr>
          <w:rFonts w:ascii="Times New Roman" w:hAnsi="Times New Roman" w:cs="Times New Roman"/>
        </w:rPr>
        <w:t>And</w:t>
      </w:r>
      <w:proofErr w:type="gramEnd"/>
      <w:r w:rsidRPr="001F16FF">
        <w:rPr>
          <w:rFonts w:ascii="Times New Roman" w:hAnsi="Times New Roman" w:cs="Times New Roman"/>
        </w:rPr>
        <w:t>, to perform any other action for furtherance of knowledge.</w:t>
      </w:r>
    </w:p>
    <w:p w:rsidR="00282615" w:rsidRPr="001F16FF" w:rsidRDefault="00282615" w:rsidP="00282615">
      <w:pPr>
        <w:pStyle w:val="ListParagraph"/>
        <w:rPr>
          <w:rFonts w:ascii="Times New Roman" w:hAnsi="Times New Roman" w:cs="Times New Roman"/>
        </w:rPr>
      </w:pPr>
    </w:p>
    <w:p w:rsidR="00DC72D4" w:rsidRPr="001F16FF" w:rsidRDefault="00DC72D4" w:rsidP="00DC72D4">
      <w:p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  <w:b/>
        </w:rPr>
        <w:t xml:space="preserve">The responsibilities of CIDC shall </w:t>
      </w:r>
      <w:proofErr w:type="gramStart"/>
      <w:r w:rsidR="00281AD2" w:rsidRPr="001F16FF">
        <w:rPr>
          <w:rFonts w:ascii="Times New Roman" w:hAnsi="Times New Roman" w:cs="Times New Roman"/>
          <w:b/>
        </w:rPr>
        <w:t>be:</w:t>
      </w:r>
      <w:proofErr w:type="gramEnd"/>
      <w:r w:rsidRPr="001F16FF">
        <w:rPr>
          <w:rFonts w:ascii="Times New Roman" w:hAnsi="Times New Roman" w:cs="Times New Roman"/>
        </w:rPr>
        <w:t xml:space="preserve"> - </w:t>
      </w:r>
    </w:p>
    <w:p w:rsidR="00282615" w:rsidRPr="001F16FF" w:rsidRDefault="00282615" w:rsidP="00DC72D4">
      <w:pPr>
        <w:pStyle w:val="ListParagraph"/>
        <w:numPr>
          <w:ilvl w:val="0"/>
          <w:numId w:val="3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To induct the cadre of POPs into the expert memberships of International Council of Consultants (ICC), Indian Society of Trenchless Technology (</w:t>
      </w:r>
      <w:proofErr w:type="spellStart"/>
      <w:r w:rsidRPr="001F16FF">
        <w:rPr>
          <w:rFonts w:ascii="Times New Roman" w:hAnsi="Times New Roman" w:cs="Times New Roman"/>
        </w:rPr>
        <w:t>IndSTT</w:t>
      </w:r>
      <w:proofErr w:type="spellEnd"/>
      <w:r w:rsidRPr="001F16FF">
        <w:rPr>
          <w:rFonts w:ascii="Times New Roman" w:hAnsi="Times New Roman" w:cs="Times New Roman"/>
        </w:rPr>
        <w:t>), Construction Industry Arbitration Council (CIAC), Engineering Council of India (ECI)</w:t>
      </w:r>
      <w:r w:rsidR="00DC72D4" w:rsidRPr="001F16FF">
        <w:rPr>
          <w:rFonts w:ascii="Times New Roman" w:hAnsi="Times New Roman" w:cs="Times New Roman"/>
        </w:rPr>
        <w:t xml:space="preserve"> (if not already included)</w:t>
      </w:r>
      <w:r w:rsidR="007171FA" w:rsidRPr="001F16FF">
        <w:rPr>
          <w:rFonts w:ascii="Times New Roman" w:hAnsi="Times New Roman" w:cs="Times New Roman"/>
        </w:rPr>
        <w:t>.</w:t>
      </w:r>
    </w:p>
    <w:p w:rsidR="007171FA" w:rsidRPr="001F16FF" w:rsidRDefault="007171FA" w:rsidP="007171FA">
      <w:pPr>
        <w:pStyle w:val="ListParagraph"/>
        <w:rPr>
          <w:rFonts w:ascii="Times New Roman" w:hAnsi="Times New Roman" w:cs="Times New Roman"/>
        </w:rPr>
      </w:pPr>
    </w:p>
    <w:p w:rsidR="00282615" w:rsidRPr="001F16FF" w:rsidRDefault="00282615" w:rsidP="00DC72D4">
      <w:pPr>
        <w:pStyle w:val="ListParagraph"/>
        <w:numPr>
          <w:ilvl w:val="0"/>
          <w:numId w:val="3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To recommend to appropriate authorities to issue directives to all PSUs, departments of State and Central Govt., for compliance of such modified guidelines</w:t>
      </w:r>
      <w:r w:rsidR="007171FA" w:rsidRPr="001F16FF">
        <w:rPr>
          <w:rFonts w:ascii="Times New Roman" w:hAnsi="Times New Roman" w:cs="Times New Roman"/>
        </w:rPr>
        <w:t xml:space="preserve"> prepared by the </w:t>
      </w:r>
      <w:r w:rsidR="00DC72D4" w:rsidRPr="001F16FF">
        <w:rPr>
          <w:rFonts w:ascii="Times New Roman" w:hAnsi="Times New Roman" w:cs="Times New Roman"/>
        </w:rPr>
        <w:t>POPs.</w:t>
      </w:r>
    </w:p>
    <w:p w:rsidR="007171FA" w:rsidRPr="001F16FF" w:rsidRDefault="007171FA" w:rsidP="00DC72D4">
      <w:pPr>
        <w:pStyle w:val="ListParagraph"/>
        <w:numPr>
          <w:ilvl w:val="0"/>
          <w:numId w:val="3"/>
        </w:numPr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Streams &amp; disciplines where POPs shall be nominated </w:t>
      </w:r>
      <w:r w:rsidR="00DC72D4" w:rsidRPr="001F16FF">
        <w:rPr>
          <w:rFonts w:ascii="Times New Roman" w:hAnsi="Times New Roman" w:cs="Times New Roman"/>
        </w:rPr>
        <w:t>(P</w:t>
      </w:r>
      <w:r w:rsidRPr="001F16FF">
        <w:rPr>
          <w:rFonts w:ascii="Times New Roman" w:hAnsi="Times New Roman" w:cs="Times New Roman"/>
        </w:rPr>
        <w:t>lease add more specializations</w:t>
      </w:r>
      <w:r w:rsidR="00DC72D4" w:rsidRPr="001F16FF">
        <w:rPr>
          <w:rFonts w:ascii="Times New Roman" w:hAnsi="Times New Roman" w:cs="Times New Roman"/>
        </w:rPr>
        <w:t>)</w:t>
      </w:r>
      <w:r w:rsidRPr="001F16FF">
        <w:rPr>
          <w:rFonts w:ascii="Times New Roman" w:hAnsi="Times New Roman" w:cs="Times New Roman"/>
        </w:rPr>
        <w:t>, if required</w:t>
      </w:r>
    </w:p>
    <w:p w:rsidR="00770E08" w:rsidRPr="001F16FF" w:rsidRDefault="00770E08" w:rsidP="00770E08">
      <w:pPr>
        <w:pStyle w:val="ListParagraph"/>
        <w:rPr>
          <w:rFonts w:ascii="Times New Roman" w:hAnsi="Times New Roman" w:cs="Times New Roman"/>
        </w:rPr>
      </w:pPr>
    </w:p>
    <w:p w:rsidR="00770E08" w:rsidRPr="001F16FF" w:rsidRDefault="00DC72D4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  <w:b/>
        </w:rPr>
      </w:pPr>
      <w:r w:rsidRPr="001F16FF">
        <w:rPr>
          <w:rFonts w:ascii="Times New Roman" w:hAnsi="Times New Roman" w:cs="Times New Roman"/>
          <w:b/>
        </w:rPr>
        <w:lastRenderedPageBreak/>
        <w:t>Disciplines &amp; Streams: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The empaneled </w:t>
      </w:r>
      <w:r w:rsidR="00DC72D4" w:rsidRPr="001F16FF">
        <w:rPr>
          <w:rFonts w:ascii="Times New Roman" w:hAnsi="Times New Roman" w:cs="Times New Roman"/>
        </w:rPr>
        <w:t>exerts</w:t>
      </w:r>
      <w:r w:rsidRPr="001F16FF">
        <w:rPr>
          <w:rFonts w:ascii="Times New Roman" w:hAnsi="Times New Roman" w:cs="Times New Roman"/>
        </w:rPr>
        <w:t xml:space="preserve"> will be required to provide services in one or more of the following sectors: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851"/>
        <w:gridCol w:w="1275"/>
      </w:tblGrid>
      <w:tr w:rsidR="002141FE" w:rsidRPr="001F16FF" w:rsidTr="00956211">
        <w:trPr>
          <w:trHeight w:val="300"/>
        </w:trPr>
        <w:tc>
          <w:tcPr>
            <w:tcW w:w="7508" w:type="dxa"/>
            <w:noWrap/>
          </w:tcPr>
          <w:p w:rsidR="002141FE" w:rsidRPr="001F16FF" w:rsidRDefault="002141FE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851" w:type="dxa"/>
          </w:tcPr>
          <w:p w:rsidR="002141FE" w:rsidRPr="001F16FF" w:rsidRDefault="002141FE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</w:tcPr>
          <w:p w:rsidR="002141FE" w:rsidRPr="001F16FF" w:rsidRDefault="002141FE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F16F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Code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Roads &amp; Highways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Railways &amp; Metro Systems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Airports &amp; Aviation Infrastructure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S3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Thermal, Hydro, Solar, and Wind Power Projects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S4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Real Estate, Smart Cities &amp; Affordable Housing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S5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Industrial, Mining &amp; Oil/Gas Infrastructure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S6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Water, Sewerage, Waste Management &amp; Irrigation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S7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Ports, Inland Waterways &amp; Coastal Infra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S8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Dams &amp; Hydropower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S9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Warehousing &amp; Logistics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S10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Trenchless/Subsurface Infrastructure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S11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F16FF">
              <w:rPr>
                <w:rFonts w:ascii="Times New Roman" w:hAnsi="Times New Roman" w:cs="Times New Roman"/>
              </w:rPr>
              <w:t>Defense</w:t>
            </w:r>
            <w:proofErr w:type="spellEnd"/>
            <w:r w:rsidRPr="001F16FF">
              <w:rPr>
                <w:rFonts w:ascii="Times New Roman" w:hAnsi="Times New Roman" w:cs="Times New Roman"/>
              </w:rPr>
              <w:t xml:space="preserve"> and Border Area Infrastructure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S12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Green &amp; Sustainable Infrastructure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S13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 xml:space="preserve">- Data </w:t>
            </w:r>
            <w:proofErr w:type="spellStart"/>
            <w:r w:rsidRPr="001F16FF">
              <w:rPr>
                <w:rFonts w:ascii="Times New Roman" w:hAnsi="Times New Roman" w:cs="Times New Roman"/>
              </w:rPr>
              <w:t>Centers</w:t>
            </w:r>
            <w:proofErr w:type="spellEnd"/>
            <w:r w:rsidRPr="001F16FF">
              <w:rPr>
                <w:rFonts w:ascii="Times New Roman" w:hAnsi="Times New Roman" w:cs="Times New Roman"/>
              </w:rPr>
              <w:t xml:space="preserve"> &amp; </w:t>
            </w:r>
            <w:proofErr w:type="gramStart"/>
            <w:r w:rsidRPr="001F16FF">
              <w:rPr>
                <w:rFonts w:ascii="Times New Roman" w:hAnsi="Times New Roman" w:cs="Times New Roman"/>
              </w:rPr>
              <w:t>IT</w:t>
            </w:r>
            <w:proofErr w:type="gramEnd"/>
            <w:r w:rsidRPr="001F16FF">
              <w:rPr>
                <w:rFonts w:ascii="Times New Roman" w:hAnsi="Times New Roman" w:cs="Times New Roman"/>
              </w:rPr>
              <w:t xml:space="preserve"> Infrastructure – Architecture – Naval Architecture.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S14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4B3339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56211" w:rsidRPr="001F16FF">
              <w:rPr>
                <w:rFonts w:ascii="Times New Roman" w:hAnsi="Times New Roman" w:cs="Times New Roman"/>
              </w:rPr>
              <w:t>Core services may include (but are not limited to):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Project planning, feasibility studies, and DPR preparation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S16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Detailed engineering &amp; design consultancy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S17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Construction supervision &amp; third-party inspection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S18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Quality control, testing &amp; certification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S19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Safety audits and EHS compliance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S20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Contract management &amp; claims advisory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S21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BIM, GIS, and Digital Twin services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S22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Skill development, training, and curriculum development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S23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Policy advisory &amp; capacity building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S24</w:t>
            </w:r>
          </w:p>
        </w:tc>
      </w:tr>
      <w:tr w:rsidR="00956211" w:rsidRPr="001F16FF" w:rsidTr="00956211">
        <w:trPr>
          <w:trHeight w:val="300"/>
        </w:trPr>
        <w:tc>
          <w:tcPr>
            <w:tcW w:w="7508" w:type="dxa"/>
            <w:noWrap/>
            <w:hideMark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16FF">
              <w:rPr>
                <w:rFonts w:ascii="Times New Roman" w:hAnsi="Times New Roman" w:cs="Times New Roman"/>
              </w:rPr>
              <w:t>- Project management consultancy (PMC)</w:t>
            </w:r>
          </w:p>
        </w:tc>
        <w:tc>
          <w:tcPr>
            <w:tcW w:w="851" w:type="dxa"/>
          </w:tcPr>
          <w:p w:rsidR="00956211" w:rsidRPr="001F16FF" w:rsidRDefault="00956211" w:rsidP="009562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56211" w:rsidRPr="001F16FF" w:rsidRDefault="00956211" w:rsidP="0095621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1F16FF">
              <w:rPr>
                <w:rFonts w:ascii="Times New Roman" w:hAnsi="Times New Roman" w:cs="Times New Roman"/>
                <w:color w:val="000000"/>
              </w:rPr>
              <w:t>S25</w:t>
            </w:r>
          </w:p>
        </w:tc>
      </w:tr>
    </w:tbl>
    <w:p w:rsidR="00DC72D4" w:rsidRPr="001F16FF" w:rsidRDefault="00DC72D4" w:rsidP="00042335">
      <w:pPr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THE SERVICES RENDERED SHALL ENT</w:t>
      </w:r>
      <w:r w:rsidR="00042335" w:rsidRPr="001F16FF">
        <w:rPr>
          <w:rFonts w:ascii="Times New Roman" w:hAnsi="Times New Roman" w:cs="Times New Roman"/>
        </w:rPr>
        <w:t xml:space="preserve">ITILE POPS RECEIVE HONORARIUM &amp; </w:t>
      </w:r>
      <w:r w:rsidRPr="001F16FF">
        <w:rPr>
          <w:rFonts w:ascii="Times New Roman" w:hAnsi="Times New Roman" w:cs="Times New Roman"/>
        </w:rPr>
        <w:t>OTHER FACILITIES AS PER STANDARD TERMS.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  <w:b/>
        </w:rPr>
        <w:t>Eligibility Criteria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Applicants must fall into one of the following categories: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Individual professionals or domain experts with a proven </w:t>
      </w:r>
      <w:proofErr w:type="gramStart"/>
      <w:r w:rsidRPr="001F16FF">
        <w:rPr>
          <w:rFonts w:ascii="Times New Roman" w:hAnsi="Times New Roman" w:cs="Times New Roman"/>
        </w:rPr>
        <w:t>track record</w:t>
      </w:r>
      <w:proofErr w:type="gramEnd"/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</w:t>
      </w:r>
      <w:r w:rsidR="00042335" w:rsidRPr="001F16FF">
        <w:rPr>
          <w:rFonts w:ascii="Times New Roman" w:hAnsi="Times New Roman" w:cs="Times New Roman"/>
        </w:rPr>
        <w:t xml:space="preserve">Faculty members of </w:t>
      </w:r>
      <w:r w:rsidRPr="001F16FF">
        <w:rPr>
          <w:rFonts w:ascii="Times New Roman" w:hAnsi="Times New Roman" w:cs="Times New Roman"/>
        </w:rPr>
        <w:t>Technical institutes or training organizations with infrastructure and faculty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International </w:t>
      </w:r>
      <w:r w:rsidR="00042335" w:rsidRPr="001F16FF">
        <w:rPr>
          <w:rFonts w:ascii="Times New Roman" w:hAnsi="Times New Roman" w:cs="Times New Roman"/>
        </w:rPr>
        <w:t>experts</w:t>
      </w:r>
      <w:r w:rsidRPr="001F16FF">
        <w:rPr>
          <w:rFonts w:ascii="Times New Roman" w:hAnsi="Times New Roman" w:cs="Times New Roman"/>
        </w:rPr>
        <w:t xml:space="preserve"> with relevant experience in similar projects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Mandatory Requirements: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Minimum </w:t>
      </w:r>
      <w:r w:rsidR="00042335" w:rsidRPr="001F16FF">
        <w:rPr>
          <w:rFonts w:ascii="Times New Roman" w:hAnsi="Times New Roman" w:cs="Times New Roman"/>
        </w:rPr>
        <w:t>10</w:t>
      </w:r>
      <w:r w:rsidRPr="001F16FF">
        <w:rPr>
          <w:rFonts w:ascii="Times New Roman" w:hAnsi="Times New Roman" w:cs="Times New Roman"/>
        </w:rPr>
        <w:t xml:space="preserve"> years of </w:t>
      </w:r>
      <w:r w:rsidR="005E5489" w:rsidRPr="001F16FF">
        <w:rPr>
          <w:rFonts w:ascii="Times New Roman" w:hAnsi="Times New Roman" w:cs="Times New Roman"/>
        </w:rPr>
        <w:t xml:space="preserve">active working </w:t>
      </w:r>
      <w:r w:rsidRPr="001F16FF">
        <w:rPr>
          <w:rFonts w:ascii="Times New Roman" w:hAnsi="Times New Roman" w:cs="Times New Roman"/>
        </w:rPr>
        <w:t xml:space="preserve">experience 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Demonstrated experience in similar assignments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lastRenderedPageBreak/>
        <w:t xml:space="preserve">4. </w:t>
      </w:r>
      <w:r w:rsidRPr="001F16FF">
        <w:rPr>
          <w:rFonts w:ascii="Times New Roman" w:hAnsi="Times New Roman" w:cs="Times New Roman"/>
          <w:b/>
        </w:rPr>
        <w:t>Evaluation &amp; Selection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Evaluation will be based on: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Technical capacity and domain expertise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Relevant project experience and credentials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Proposed sectors/verticals of engagement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Geographic coverage and reach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Past performance with government or large-scale projects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Innovation and sustainability approaches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5. </w:t>
      </w:r>
      <w:r w:rsidRPr="001F16FF">
        <w:rPr>
          <w:rFonts w:ascii="Times New Roman" w:hAnsi="Times New Roman" w:cs="Times New Roman"/>
          <w:b/>
        </w:rPr>
        <w:t>Submission Requirements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Interested parties </w:t>
      </w:r>
      <w:proofErr w:type="gramStart"/>
      <w:r w:rsidRPr="001F16FF">
        <w:rPr>
          <w:rFonts w:ascii="Times New Roman" w:hAnsi="Times New Roman" w:cs="Times New Roman"/>
        </w:rPr>
        <w:t>are requested</w:t>
      </w:r>
      <w:proofErr w:type="gramEnd"/>
      <w:r w:rsidRPr="001F16FF">
        <w:rPr>
          <w:rFonts w:ascii="Times New Roman" w:hAnsi="Times New Roman" w:cs="Times New Roman"/>
        </w:rPr>
        <w:t xml:space="preserve"> to submit the following:</w:t>
      </w:r>
    </w:p>
    <w:p w:rsidR="00042335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</w:t>
      </w:r>
      <w:r w:rsidR="00042335" w:rsidRPr="001F16FF">
        <w:rPr>
          <w:rFonts w:ascii="Times New Roman" w:hAnsi="Times New Roman" w:cs="Times New Roman"/>
        </w:rPr>
        <w:t xml:space="preserve"> </w:t>
      </w:r>
      <w:proofErr w:type="spellStart"/>
      <w:r w:rsidR="00042335" w:rsidRPr="001F16FF">
        <w:rPr>
          <w:rFonts w:ascii="Times New Roman" w:hAnsi="Times New Roman" w:cs="Times New Roman"/>
        </w:rPr>
        <w:t>Curricullam</w:t>
      </w:r>
      <w:proofErr w:type="spellEnd"/>
      <w:r w:rsidR="00042335" w:rsidRPr="001F16FF">
        <w:rPr>
          <w:rFonts w:ascii="Times New Roman" w:hAnsi="Times New Roman" w:cs="Times New Roman"/>
        </w:rPr>
        <w:t xml:space="preserve"> Vitae</w:t>
      </w:r>
      <w:r w:rsidRPr="001F16FF">
        <w:rPr>
          <w:rFonts w:ascii="Times New Roman" w:hAnsi="Times New Roman" w:cs="Times New Roman"/>
        </w:rPr>
        <w:t xml:space="preserve"> </w:t>
      </w:r>
    </w:p>
    <w:p w:rsidR="00770E08" w:rsidRPr="001F16FF" w:rsidRDefault="00042335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</w:t>
      </w:r>
      <w:r w:rsidR="00770E08" w:rsidRPr="001F16FF">
        <w:rPr>
          <w:rFonts w:ascii="Times New Roman" w:hAnsi="Times New Roman" w:cs="Times New Roman"/>
        </w:rPr>
        <w:t>Details of sectoral expertise (with evidence)</w:t>
      </w:r>
      <w:r w:rsidR="005E5489" w:rsidRPr="001F16FF">
        <w:rPr>
          <w:rFonts w:ascii="Times New Roman" w:hAnsi="Times New Roman" w:cs="Times New Roman"/>
        </w:rPr>
        <w:t>, please make specific mention of Code/ Codes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List of completed and ongoing assignments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Copies of certifications, registrations, recognitions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Any other relevant supporting documents</w:t>
      </w:r>
    </w:p>
    <w:p w:rsidR="00042335" w:rsidRPr="001F16FF" w:rsidRDefault="00042335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Details of Membership of Professional Bodies</w:t>
      </w:r>
    </w:p>
    <w:p w:rsidR="00042335" w:rsidRPr="001F16FF" w:rsidRDefault="00042335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</w:t>
      </w:r>
      <w:r w:rsidR="00281AD2" w:rsidRPr="001F16FF">
        <w:rPr>
          <w:rFonts w:ascii="Times New Roman" w:hAnsi="Times New Roman" w:cs="Times New Roman"/>
        </w:rPr>
        <w:t>Non-refundable</w:t>
      </w:r>
      <w:r w:rsidRPr="001F16FF">
        <w:rPr>
          <w:rFonts w:ascii="Times New Roman" w:hAnsi="Times New Roman" w:cs="Times New Roman"/>
        </w:rPr>
        <w:t xml:space="preserve"> Processing fee – </w:t>
      </w:r>
      <w:proofErr w:type="spellStart"/>
      <w:r w:rsidRPr="001F16FF">
        <w:rPr>
          <w:rFonts w:ascii="Times New Roman" w:hAnsi="Times New Roman" w:cs="Times New Roman"/>
        </w:rPr>
        <w:t>Rs</w:t>
      </w:r>
      <w:proofErr w:type="spellEnd"/>
      <w:r w:rsidRPr="001F16FF">
        <w:rPr>
          <w:rFonts w:ascii="Times New Roman" w:hAnsi="Times New Roman" w:cs="Times New Roman"/>
        </w:rPr>
        <w:t>. 1500/- +</w:t>
      </w:r>
      <w:r w:rsidR="001F61AC">
        <w:rPr>
          <w:rFonts w:ascii="Times New Roman" w:hAnsi="Times New Roman" w:cs="Times New Roman"/>
        </w:rPr>
        <w:t>18%</w:t>
      </w:r>
      <w:r w:rsidRPr="001F16FF">
        <w:rPr>
          <w:rFonts w:ascii="Times New Roman" w:hAnsi="Times New Roman" w:cs="Times New Roman"/>
        </w:rPr>
        <w:t xml:space="preserve"> GST </w:t>
      </w:r>
      <w:r w:rsidR="005E5489" w:rsidRPr="001F16FF">
        <w:rPr>
          <w:rFonts w:ascii="Times New Roman" w:hAnsi="Times New Roman" w:cs="Times New Roman"/>
        </w:rPr>
        <w:t>(For Indian Citizens)</w:t>
      </w:r>
    </w:p>
    <w:p w:rsidR="005E5489" w:rsidRPr="001F16FF" w:rsidRDefault="005E5489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ab/>
      </w:r>
      <w:r w:rsidRPr="001F16FF">
        <w:rPr>
          <w:rFonts w:ascii="Times New Roman" w:hAnsi="Times New Roman" w:cs="Times New Roman"/>
        </w:rPr>
        <w:tab/>
      </w:r>
      <w:r w:rsidRPr="001F16FF">
        <w:rPr>
          <w:rFonts w:ascii="Times New Roman" w:hAnsi="Times New Roman" w:cs="Times New Roman"/>
        </w:rPr>
        <w:tab/>
      </w:r>
      <w:r w:rsidRPr="001F16FF">
        <w:rPr>
          <w:rFonts w:ascii="Times New Roman" w:hAnsi="Times New Roman" w:cs="Times New Roman"/>
        </w:rPr>
        <w:tab/>
      </w:r>
      <w:r w:rsidRPr="001F16FF">
        <w:rPr>
          <w:rFonts w:ascii="Times New Roman" w:hAnsi="Times New Roman" w:cs="Times New Roman"/>
        </w:rPr>
        <w:tab/>
        <w:t xml:space="preserve">    - USD 50/- + Taxes (For overseas experts)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6. </w:t>
      </w:r>
      <w:r w:rsidRPr="001F16FF">
        <w:rPr>
          <w:rFonts w:ascii="Times New Roman" w:hAnsi="Times New Roman" w:cs="Times New Roman"/>
          <w:b/>
        </w:rPr>
        <w:t>Submission Deadline &amp; Method</w:t>
      </w:r>
    </w:p>
    <w:p w:rsidR="002A4721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EOI submissions must be sent by </w:t>
      </w:r>
      <w:proofErr w:type="gramStart"/>
      <w:r w:rsidR="002A4721" w:rsidRPr="001F16FF">
        <w:rPr>
          <w:rFonts w:ascii="Times New Roman" w:hAnsi="Times New Roman" w:cs="Times New Roman"/>
        </w:rPr>
        <w:t>30</w:t>
      </w:r>
      <w:r w:rsidR="00281AD2" w:rsidRPr="001F16FF">
        <w:rPr>
          <w:rFonts w:ascii="Times New Roman" w:hAnsi="Times New Roman" w:cs="Times New Roman"/>
          <w:vertAlign w:val="superscript"/>
        </w:rPr>
        <w:t>th</w:t>
      </w:r>
      <w:proofErr w:type="gramEnd"/>
      <w:r w:rsidR="00281AD2" w:rsidRPr="001F16FF">
        <w:rPr>
          <w:rFonts w:ascii="Times New Roman" w:hAnsi="Times New Roman" w:cs="Times New Roman"/>
        </w:rPr>
        <w:t xml:space="preserve"> June 2025</w:t>
      </w:r>
    </w:p>
    <w:p w:rsidR="002A4721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Format: PDF or hard copy</w:t>
      </w:r>
    </w:p>
    <w:p w:rsidR="00042335" w:rsidRPr="001F16FF" w:rsidRDefault="00042335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Mode of Payment</w:t>
      </w:r>
      <w:r w:rsidR="008B083F" w:rsidRPr="001F16FF">
        <w:rPr>
          <w:rFonts w:ascii="Times New Roman" w:hAnsi="Times New Roman" w:cs="Times New Roman"/>
        </w:rPr>
        <w:t>: Pay vide RTGS to Account no. Given below</w:t>
      </w:r>
    </w:p>
    <w:p w:rsidR="008B083F" w:rsidRPr="001F16FF" w:rsidRDefault="008B083F" w:rsidP="008B083F">
      <w:pPr>
        <w:spacing w:after="0" w:line="240" w:lineRule="auto"/>
        <w:ind w:firstLine="1800"/>
        <w:rPr>
          <w:rFonts w:ascii="Times New Roman" w:eastAsia="Times New Roman" w:hAnsi="Times New Roman" w:cs="Times New Roman"/>
          <w:b/>
          <w:bCs/>
          <w:lang w:val="en-US" w:eastAsia="en-IN"/>
        </w:rPr>
      </w:pPr>
      <w:r w:rsidRPr="001F16FF">
        <w:rPr>
          <w:rFonts w:ascii="Times New Roman" w:eastAsia="Times New Roman" w:hAnsi="Times New Roman" w:cs="Times New Roman"/>
          <w:lang w:val="en-GB" w:eastAsia="en-IN"/>
        </w:rPr>
        <w:t xml:space="preserve">Name: </w:t>
      </w:r>
      <w:r w:rsidRPr="001F16FF">
        <w:rPr>
          <w:rFonts w:ascii="Times New Roman" w:eastAsia="Times New Roman" w:hAnsi="Times New Roman" w:cs="Times New Roman"/>
          <w:lang w:val="en-GB" w:eastAsia="en-IN"/>
        </w:rPr>
        <w:tab/>
      </w:r>
      <w:r w:rsidRPr="001F16FF">
        <w:rPr>
          <w:rFonts w:ascii="Times New Roman" w:eastAsia="Times New Roman" w:hAnsi="Times New Roman" w:cs="Times New Roman"/>
          <w:b/>
          <w:lang w:val="en-US"/>
        </w:rPr>
        <w:t>Construction Industry Development Council</w:t>
      </w:r>
    </w:p>
    <w:p w:rsidR="008B083F" w:rsidRPr="001F16FF" w:rsidRDefault="008B083F" w:rsidP="008B083F">
      <w:pPr>
        <w:spacing w:after="0" w:line="240" w:lineRule="auto"/>
        <w:ind w:firstLine="1800"/>
        <w:rPr>
          <w:rFonts w:ascii="Times New Roman" w:eastAsia="Times New Roman" w:hAnsi="Times New Roman" w:cs="Times New Roman"/>
          <w:lang w:val="en-US"/>
        </w:rPr>
      </w:pPr>
      <w:r w:rsidRPr="001F16FF">
        <w:rPr>
          <w:rFonts w:ascii="Times New Roman" w:eastAsia="Times New Roman" w:hAnsi="Times New Roman" w:cs="Times New Roman"/>
          <w:lang w:val="en-US"/>
        </w:rPr>
        <w:t xml:space="preserve">Bank Name    : </w:t>
      </w:r>
      <w:r w:rsidRPr="001F16FF">
        <w:rPr>
          <w:rFonts w:ascii="Times New Roman" w:eastAsia="Times New Roman" w:hAnsi="Times New Roman" w:cs="Times New Roman"/>
          <w:lang w:val="en-US"/>
        </w:rPr>
        <w:tab/>
        <w:t>Federal Bank Ltd Nehru Place, New Delhi</w:t>
      </w:r>
    </w:p>
    <w:p w:rsidR="008B083F" w:rsidRPr="001F16FF" w:rsidRDefault="008B083F" w:rsidP="008B083F">
      <w:pPr>
        <w:spacing w:after="0" w:line="240" w:lineRule="auto"/>
        <w:ind w:firstLine="1800"/>
        <w:rPr>
          <w:rFonts w:ascii="Times New Roman" w:eastAsia="Times New Roman" w:hAnsi="Times New Roman" w:cs="Times New Roman"/>
          <w:lang w:val="en-US"/>
        </w:rPr>
      </w:pPr>
      <w:r w:rsidRPr="001F16FF">
        <w:rPr>
          <w:rFonts w:ascii="Times New Roman" w:eastAsia="Times New Roman" w:hAnsi="Times New Roman" w:cs="Times New Roman"/>
          <w:lang w:val="en-US"/>
        </w:rPr>
        <w:t xml:space="preserve">Bank A/C No.: </w:t>
      </w:r>
      <w:r w:rsidRPr="001F16FF">
        <w:rPr>
          <w:rFonts w:ascii="Times New Roman" w:eastAsia="Times New Roman" w:hAnsi="Times New Roman" w:cs="Times New Roman"/>
          <w:lang w:val="en-US"/>
        </w:rPr>
        <w:tab/>
        <w:t xml:space="preserve">13020100120032, </w:t>
      </w:r>
    </w:p>
    <w:p w:rsidR="008B083F" w:rsidRPr="001F16FF" w:rsidRDefault="008B083F" w:rsidP="008B083F">
      <w:pPr>
        <w:spacing w:after="0" w:line="240" w:lineRule="auto"/>
        <w:ind w:firstLine="1800"/>
        <w:rPr>
          <w:rFonts w:ascii="Times New Roman" w:eastAsia="Times New Roman" w:hAnsi="Times New Roman" w:cs="Times New Roman"/>
          <w:lang w:val="en-US"/>
        </w:rPr>
      </w:pPr>
      <w:r w:rsidRPr="001F16FF">
        <w:rPr>
          <w:rFonts w:ascii="Times New Roman" w:eastAsia="Times New Roman" w:hAnsi="Times New Roman" w:cs="Times New Roman"/>
          <w:lang w:val="en-US"/>
        </w:rPr>
        <w:t xml:space="preserve">IFSC code </w:t>
      </w:r>
      <w:r w:rsidR="00281AD2" w:rsidRPr="001F16FF">
        <w:rPr>
          <w:rFonts w:ascii="Times New Roman" w:eastAsia="Times New Roman" w:hAnsi="Times New Roman" w:cs="Times New Roman"/>
          <w:lang w:val="en-US"/>
        </w:rPr>
        <w:t>No.:</w:t>
      </w:r>
      <w:r w:rsidRPr="001F16FF">
        <w:rPr>
          <w:rFonts w:ascii="Times New Roman" w:eastAsia="Times New Roman" w:hAnsi="Times New Roman" w:cs="Times New Roman"/>
          <w:lang w:val="en-US"/>
        </w:rPr>
        <w:t xml:space="preserve"> </w:t>
      </w:r>
      <w:r w:rsidRPr="001F16FF">
        <w:rPr>
          <w:rFonts w:ascii="Times New Roman" w:eastAsia="Times New Roman" w:hAnsi="Times New Roman" w:cs="Times New Roman"/>
          <w:lang w:val="en-US"/>
        </w:rPr>
        <w:tab/>
        <w:t xml:space="preserve">FDRL0001302 </w:t>
      </w:r>
    </w:p>
    <w:p w:rsidR="008B083F" w:rsidRPr="001F16FF" w:rsidRDefault="008B083F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2A4721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AA28EB">
        <w:rPr>
          <w:rFonts w:ascii="Times New Roman" w:hAnsi="Times New Roman" w:cs="Times New Roman"/>
          <w:b/>
        </w:rPr>
        <w:t>Email submissions to:</w:t>
      </w:r>
      <w:r w:rsidRPr="001F16FF">
        <w:rPr>
          <w:rFonts w:ascii="Times New Roman" w:hAnsi="Times New Roman" w:cs="Times New Roman"/>
        </w:rPr>
        <w:t xml:space="preserve"> </w:t>
      </w:r>
      <w:r w:rsidR="00E31D61" w:rsidRPr="00AA28EB">
        <w:rPr>
          <w:rStyle w:val="Hyperlink"/>
        </w:rPr>
        <w:t>cidc.alliance@gmail.com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Subject: “EOI for Empanelment – </w:t>
      </w:r>
      <w:r w:rsidR="007A2D48" w:rsidRPr="001F16FF">
        <w:rPr>
          <w:rFonts w:ascii="Times New Roman" w:hAnsi="Times New Roman" w:cs="Times New Roman"/>
        </w:rPr>
        <w:t>POP Re</w:t>
      </w:r>
      <w:r w:rsidR="00042335" w:rsidRPr="001F16FF">
        <w:rPr>
          <w:rFonts w:ascii="Times New Roman" w:hAnsi="Times New Roman" w:cs="Times New Roman"/>
        </w:rPr>
        <w:t>gistration</w:t>
      </w: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7. </w:t>
      </w:r>
      <w:r w:rsidRPr="001F16FF">
        <w:rPr>
          <w:rFonts w:ascii="Times New Roman" w:hAnsi="Times New Roman" w:cs="Times New Roman"/>
          <w:b/>
        </w:rPr>
        <w:t>General Terms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CIDC reserves the right to shortlist, reject or invite further information.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- This is not a contract or guarantee of award.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Selected applicants </w:t>
      </w:r>
      <w:proofErr w:type="gramStart"/>
      <w:r w:rsidRPr="001F16FF">
        <w:rPr>
          <w:rFonts w:ascii="Times New Roman" w:hAnsi="Times New Roman" w:cs="Times New Roman"/>
        </w:rPr>
        <w:t xml:space="preserve">will be </w:t>
      </w:r>
      <w:proofErr w:type="spellStart"/>
      <w:r w:rsidRPr="001F16FF">
        <w:rPr>
          <w:rFonts w:ascii="Times New Roman" w:hAnsi="Times New Roman" w:cs="Times New Roman"/>
        </w:rPr>
        <w:t>empaneled</w:t>
      </w:r>
      <w:proofErr w:type="spellEnd"/>
      <w:proofErr w:type="gramEnd"/>
      <w:r w:rsidRPr="001F16FF">
        <w:rPr>
          <w:rFonts w:ascii="Times New Roman" w:hAnsi="Times New Roman" w:cs="Times New Roman"/>
        </w:rPr>
        <w:t xml:space="preserve"> for 3 years, extendable based on performance.</w:t>
      </w:r>
    </w:p>
    <w:p w:rsidR="00770E08" w:rsidRPr="001F16FF" w:rsidRDefault="00770E08" w:rsidP="002A4721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- </w:t>
      </w:r>
      <w:proofErr w:type="spellStart"/>
      <w:r w:rsidRPr="001F16FF">
        <w:rPr>
          <w:rFonts w:ascii="Times New Roman" w:hAnsi="Times New Roman" w:cs="Times New Roman"/>
        </w:rPr>
        <w:t>Empaneled</w:t>
      </w:r>
      <w:proofErr w:type="spellEnd"/>
      <w:r w:rsidRPr="001F16FF">
        <w:rPr>
          <w:rFonts w:ascii="Times New Roman" w:hAnsi="Times New Roman" w:cs="Times New Roman"/>
        </w:rPr>
        <w:t xml:space="preserve"> parties </w:t>
      </w:r>
      <w:proofErr w:type="gramStart"/>
      <w:r w:rsidRPr="001F16FF">
        <w:rPr>
          <w:rFonts w:ascii="Times New Roman" w:hAnsi="Times New Roman" w:cs="Times New Roman"/>
        </w:rPr>
        <w:t>will be contacted</w:t>
      </w:r>
      <w:proofErr w:type="gramEnd"/>
      <w:r w:rsidRPr="001F16FF">
        <w:rPr>
          <w:rFonts w:ascii="Times New Roman" w:hAnsi="Times New Roman" w:cs="Times New Roman"/>
        </w:rPr>
        <w:t xml:space="preserve"> for assignments on a need basis.</w:t>
      </w:r>
    </w:p>
    <w:p w:rsidR="00770E08" w:rsidRPr="001F16FF" w:rsidRDefault="00770E08" w:rsidP="002A4721">
      <w:pPr>
        <w:keepNext/>
        <w:keepLines/>
        <w:spacing w:before="20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Contact for Clarifications</w:t>
      </w:r>
    </w:p>
    <w:p w:rsidR="00770E08" w:rsidRPr="001F16FF" w:rsidRDefault="00770E08" w:rsidP="002A4721">
      <w:pPr>
        <w:spacing w:after="200" w:line="276" w:lineRule="auto"/>
        <w:jc w:val="both"/>
        <w:rPr>
          <w:rFonts w:ascii="Times New Roman" w:hAnsi="Times New Roman" w:cs="Times New Roman"/>
        </w:rPr>
      </w:pPr>
    </w:p>
    <w:p w:rsidR="00770E08" w:rsidRPr="001F16FF" w:rsidRDefault="00770E08" w:rsidP="002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Dr P R </w:t>
      </w:r>
      <w:proofErr w:type="spellStart"/>
      <w:r w:rsidRPr="001F16FF">
        <w:rPr>
          <w:rFonts w:ascii="Times New Roman" w:hAnsi="Times New Roman" w:cs="Times New Roman"/>
        </w:rPr>
        <w:t>Swarup</w:t>
      </w:r>
      <w:proofErr w:type="spellEnd"/>
      <w:r w:rsidRPr="001F16FF">
        <w:rPr>
          <w:rFonts w:ascii="Times New Roman" w:hAnsi="Times New Roman" w:cs="Times New Roman"/>
        </w:rPr>
        <w:t xml:space="preserve">.  </w:t>
      </w:r>
    </w:p>
    <w:p w:rsidR="00770E08" w:rsidRPr="001F16FF" w:rsidRDefault="00770E08" w:rsidP="002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Director </w:t>
      </w:r>
      <w:r w:rsidR="00281AD2" w:rsidRPr="001F16FF">
        <w:rPr>
          <w:rFonts w:ascii="Times New Roman" w:hAnsi="Times New Roman" w:cs="Times New Roman"/>
        </w:rPr>
        <w:t>General,</w:t>
      </w:r>
      <w:r w:rsidRPr="001F16FF">
        <w:rPr>
          <w:rFonts w:ascii="Times New Roman" w:hAnsi="Times New Roman" w:cs="Times New Roman"/>
        </w:rPr>
        <w:t xml:space="preserve"> </w:t>
      </w:r>
    </w:p>
    <w:p w:rsidR="002A4721" w:rsidRPr="001F16FF" w:rsidRDefault="00770E08" w:rsidP="002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>CIDC</w:t>
      </w:r>
      <w:r w:rsidRPr="001F16FF">
        <w:rPr>
          <w:rFonts w:ascii="Times New Roman" w:hAnsi="Times New Roman" w:cs="Times New Roman"/>
        </w:rPr>
        <w:br/>
      </w:r>
      <w:r w:rsidRPr="00AA28EB">
        <w:rPr>
          <w:rFonts w:ascii="Times New Roman" w:hAnsi="Times New Roman" w:cs="Times New Roman"/>
          <w:b/>
        </w:rPr>
        <w:t>Email:</w:t>
      </w:r>
      <w:r w:rsidRPr="001F16FF">
        <w:rPr>
          <w:rFonts w:ascii="Times New Roman" w:hAnsi="Times New Roman" w:cs="Times New Roman"/>
        </w:rPr>
        <w:t xml:space="preserve"> </w:t>
      </w:r>
      <w:r w:rsidR="00E31D61" w:rsidRPr="00AA28EB">
        <w:rPr>
          <w:rStyle w:val="Hyperlink"/>
        </w:rPr>
        <w:t>cidc.alliance@gmail.com</w:t>
      </w:r>
    </w:p>
    <w:p w:rsidR="00282615" w:rsidRDefault="00770E08" w:rsidP="002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6FF">
        <w:rPr>
          <w:rFonts w:ascii="Times New Roman" w:hAnsi="Times New Roman" w:cs="Times New Roman"/>
        </w:rPr>
        <w:t xml:space="preserve">Website: </w:t>
      </w:r>
      <w:hyperlink r:id="rId13" w:history="1">
        <w:r w:rsidR="001F16FF" w:rsidRPr="0087711C">
          <w:rPr>
            <w:rStyle w:val="Hyperlink"/>
            <w:rFonts w:ascii="Times New Roman" w:hAnsi="Times New Roman" w:cs="Times New Roman"/>
          </w:rPr>
          <w:t>www.cidc.in</w:t>
        </w:r>
      </w:hyperlink>
    </w:p>
    <w:p w:rsidR="001F16FF" w:rsidRDefault="001F16FF" w:rsidP="002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16FF" w:rsidRDefault="001F16FF" w:rsidP="002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16FF" w:rsidRPr="001F16FF" w:rsidRDefault="001F16FF" w:rsidP="001F16FF">
      <w:pPr>
        <w:keepNext/>
        <w:keepLines/>
        <w:spacing w:after="0" w:line="240" w:lineRule="auto"/>
        <w:jc w:val="center"/>
        <w:outlineLvl w:val="0"/>
        <w:rPr>
          <w:rFonts w:ascii="Tw Cen MT" w:eastAsia="MS Gothic" w:hAnsi="Tw Cen MT" w:cs="Times New Roman"/>
          <w:b/>
          <w:bCs/>
          <w:sz w:val="28"/>
          <w:szCs w:val="28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8"/>
          <w:szCs w:val="28"/>
          <w:lang w:val="en-US"/>
        </w:rPr>
        <w:lastRenderedPageBreak/>
        <w:t>Expression of Interest (EOI) Response Form – Individual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For Empanelment of POPs with CIDC for Technical &amp; Professional Services in Construction and Infrastructure Sectors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1. Personal Information</w:t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Full Name: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Father’s/Mother’s Name: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Date of Birth: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Nationality: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Contact Address: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Phone Number:</w:t>
      </w: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br/>
      </w:r>
    </w:p>
    <w:p w:rsidR="001F16FF" w:rsidRPr="001F16FF" w:rsidRDefault="001F16FF" w:rsidP="001F16FF">
      <w:pPr>
        <w:tabs>
          <w:tab w:val="num" w:pos="360"/>
        </w:tabs>
        <w:spacing w:after="0" w:line="240" w:lineRule="auto"/>
        <w:ind w:left="357" w:hanging="360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Email Address:</w:t>
      </w:r>
    </w:p>
    <w:p w:rsidR="001F16FF" w:rsidRPr="001F16FF" w:rsidRDefault="001F16FF" w:rsidP="001F16FF">
      <w:pPr>
        <w:spacing w:after="0" w:line="240" w:lineRule="auto"/>
        <w:ind w:left="357"/>
        <w:contextualSpacing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2. Educational Qualifications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Please mention your academic qualifications in the following format:</w:t>
      </w:r>
    </w:p>
    <w:p w:rsidR="001F16FF" w:rsidRPr="001F16FF" w:rsidRDefault="001F16FF" w:rsidP="001F16FF">
      <w:pPr>
        <w:pBdr>
          <w:bottom w:val="single" w:sz="4" w:space="4" w:color="4F81BD"/>
        </w:pBdr>
        <w:spacing w:after="0" w:line="240" w:lineRule="auto"/>
        <w:ind w:left="936" w:right="936"/>
        <w:rPr>
          <w:rFonts w:ascii="Tw Cen MT" w:eastAsia="MS Mincho" w:hAnsi="Tw Cen MT" w:cs="Times New Roman"/>
          <w:b/>
          <w:bCs/>
          <w:i/>
          <w:iCs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b/>
          <w:bCs/>
          <w:i/>
          <w:iCs/>
          <w:sz w:val="24"/>
          <w:szCs w:val="24"/>
          <w:lang w:val="en-US"/>
        </w:rPr>
        <w:t>Degree | Discipline | University/Institute | Year of Passing</w:t>
      </w:r>
    </w:p>
    <w:p w:rsidR="001F16FF" w:rsidRPr="001F16FF" w:rsidRDefault="001F16FF" w:rsidP="001F16FF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3. Professional Certifications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Mention details of any technical/professional certifications relevant to your expertise.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4. Professional Experience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Please summarize your professional experience relevant to infrastructure/construction sectors. Include:</w:t>
      </w:r>
    </w:p>
    <w:p w:rsidR="001F16FF" w:rsidRPr="001F16FF" w:rsidRDefault="001F16FF" w:rsidP="001F16FF">
      <w:pPr>
        <w:pBdr>
          <w:bottom w:val="single" w:sz="4" w:space="4" w:color="4F81BD"/>
        </w:pBdr>
        <w:spacing w:after="0" w:line="240" w:lineRule="auto"/>
        <w:ind w:left="936" w:right="936"/>
        <w:rPr>
          <w:rFonts w:ascii="Tw Cen MT" w:eastAsia="MS Mincho" w:hAnsi="Tw Cen MT" w:cs="Times New Roman"/>
          <w:b/>
          <w:bCs/>
          <w:i/>
          <w:iCs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b/>
          <w:bCs/>
          <w:i/>
          <w:iCs/>
          <w:sz w:val="24"/>
          <w:szCs w:val="24"/>
          <w:lang w:val="en-US"/>
        </w:rPr>
        <w:t>Organization | Role | Duration | Key Projects | Responsibilities</w:t>
      </w:r>
    </w:p>
    <w:p w:rsidR="001F16FF" w:rsidRPr="001F16FF" w:rsidRDefault="001F16FF" w:rsidP="001F16FF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5. Area(s) of Expertise (AS DEFINED &amp; APPENDED)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Tick or highlight the sectors where you hold expertise: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6. Key Skills &amp; Software Knowledge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Mention relevant tools/software you are proficient in (e.g., AutoCAD, BIM, MS Project, STAAD Pro, etc.):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7. Availability &amp; Location Preference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Preferred states/regions for engagement: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numPr>
          <w:ilvl w:val="0"/>
          <w:numId w:val="4"/>
        </w:numPr>
        <w:spacing w:after="200" w:line="276" w:lineRule="auto"/>
        <w:contextualSpacing/>
        <w:rPr>
          <w:rFonts w:ascii="Cambria" w:eastAsia="MS Mincho" w:hAnsi="Cambria" w:cs="Times New Roman"/>
          <w:lang w:val="en-US"/>
        </w:rPr>
      </w:pPr>
      <w:r w:rsidRPr="001F16FF">
        <w:rPr>
          <w:rFonts w:ascii="Cambria" w:eastAsia="MS Mincho" w:hAnsi="Cambria" w:cs="Times New Roman"/>
          <w:lang w:val="en-US"/>
        </w:rPr>
        <w:t xml:space="preserve">Details of </w:t>
      </w:r>
      <w:proofErr w:type="gramStart"/>
      <w:r w:rsidRPr="001F16FF">
        <w:rPr>
          <w:rFonts w:ascii="Cambria" w:eastAsia="MS Mincho" w:hAnsi="Cambria" w:cs="Times New Roman"/>
          <w:lang w:val="en-US"/>
        </w:rPr>
        <w:t>Processing</w:t>
      </w:r>
      <w:proofErr w:type="gramEnd"/>
      <w:r w:rsidRPr="001F16FF">
        <w:rPr>
          <w:rFonts w:ascii="Cambria" w:eastAsia="MS Mincho" w:hAnsi="Cambria" w:cs="Times New Roman"/>
          <w:lang w:val="en-US"/>
        </w:rPr>
        <w:t xml:space="preserve"> fee – </w:t>
      </w:r>
      <w:proofErr w:type="spellStart"/>
      <w:r w:rsidRPr="001F16FF">
        <w:rPr>
          <w:rFonts w:ascii="Cambria" w:eastAsia="MS Mincho" w:hAnsi="Cambria" w:cs="Times New Roman"/>
          <w:lang w:val="en-US"/>
        </w:rPr>
        <w:t>Rs</w:t>
      </w:r>
      <w:proofErr w:type="spellEnd"/>
      <w:r w:rsidRPr="001F16FF">
        <w:rPr>
          <w:rFonts w:ascii="Cambria" w:eastAsia="MS Mincho" w:hAnsi="Cambria" w:cs="Times New Roman"/>
          <w:lang w:val="en-US"/>
        </w:rPr>
        <w:t xml:space="preserve">. 1500 + </w:t>
      </w:r>
      <w:r w:rsidR="00460726">
        <w:rPr>
          <w:rFonts w:ascii="Cambria" w:eastAsia="MS Mincho" w:hAnsi="Cambria" w:cs="Times New Roman"/>
          <w:lang w:val="en-US"/>
        </w:rPr>
        <w:t xml:space="preserve">18% </w:t>
      </w:r>
      <w:r w:rsidRPr="001F16FF">
        <w:rPr>
          <w:rFonts w:ascii="Cambria" w:eastAsia="MS Mincho" w:hAnsi="Cambria" w:cs="Times New Roman"/>
          <w:lang w:val="en-US"/>
        </w:rPr>
        <w:t xml:space="preserve">GST payable in favor of Construction Industry Development council as per details given below. </w:t>
      </w:r>
    </w:p>
    <w:p w:rsidR="001F16FF" w:rsidRPr="001F16FF" w:rsidRDefault="001F16FF" w:rsidP="001F16FF">
      <w:pPr>
        <w:keepNext/>
        <w:keepLines/>
        <w:spacing w:after="0" w:line="240" w:lineRule="auto"/>
        <w:outlineLvl w:val="1"/>
        <w:rPr>
          <w:rFonts w:ascii="Tw Cen MT" w:eastAsia="MS Gothic" w:hAnsi="Tw Cen MT" w:cs="Times New Roman"/>
          <w:b/>
          <w:bCs/>
          <w:sz w:val="24"/>
          <w:szCs w:val="24"/>
          <w:lang w:val="en-US"/>
        </w:rPr>
      </w:pPr>
      <w:r w:rsidRPr="001F16FF">
        <w:rPr>
          <w:rFonts w:ascii="Tw Cen MT" w:eastAsia="MS Gothic" w:hAnsi="Tw Cen MT" w:cs="Times New Roman"/>
          <w:b/>
          <w:bCs/>
          <w:sz w:val="24"/>
          <w:szCs w:val="24"/>
          <w:lang w:val="en-US"/>
        </w:rPr>
        <w:t>Declaration</w:t>
      </w: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I hereby declare that the information provided above is true to the best of my knowledge. I understand that any false information may lead to disqualification.</w:t>
      </w:r>
    </w:p>
    <w:p w:rsid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Signature: ___________________________</w:t>
      </w:r>
    </w:p>
    <w:p w:rsidR="001F16FF" w:rsidRDefault="001F16FF" w:rsidP="001F16FF">
      <w:pPr>
        <w:spacing w:after="0" w:line="240" w:lineRule="auto"/>
        <w:rPr>
          <w:rFonts w:ascii="Tw Cen MT" w:eastAsia="MS Mincho" w:hAnsi="Tw Cen MT" w:cs="Times New Roman"/>
          <w:sz w:val="24"/>
          <w:szCs w:val="24"/>
          <w:lang w:val="en-US"/>
        </w:rPr>
      </w:pPr>
    </w:p>
    <w:p w:rsidR="001F16FF" w:rsidRPr="001F16FF" w:rsidRDefault="001F16FF" w:rsidP="007B5572">
      <w:pPr>
        <w:spacing w:after="0" w:line="240" w:lineRule="auto"/>
        <w:rPr>
          <w:rFonts w:ascii="Times New Roman" w:hAnsi="Times New Roman" w:cs="Times New Roman"/>
        </w:rPr>
      </w:pPr>
      <w:r w:rsidRPr="001F16FF">
        <w:rPr>
          <w:rFonts w:ascii="Tw Cen MT" w:eastAsia="MS Mincho" w:hAnsi="Tw Cen MT" w:cs="Times New Roman"/>
          <w:sz w:val="24"/>
          <w:szCs w:val="24"/>
          <w:lang w:val="en-US"/>
        </w:rPr>
        <w:t>Date: ___________________</w:t>
      </w:r>
    </w:p>
    <w:sectPr w:rsidR="001F16FF" w:rsidRPr="001F16FF" w:rsidSect="001F16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B1C" w:rsidRDefault="00FF6B1C" w:rsidP="00CF43BA">
      <w:pPr>
        <w:spacing w:after="0" w:line="240" w:lineRule="auto"/>
      </w:pPr>
      <w:r>
        <w:separator/>
      </w:r>
    </w:p>
  </w:endnote>
  <w:endnote w:type="continuationSeparator" w:id="0">
    <w:p w:rsidR="00FF6B1C" w:rsidRDefault="00FF6B1C" w:rsidP="00CF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B1C" w:rsidRDefault="00FF6B1C" w:rsidP="00CF43BA">
      <w:pPr>
        <w:spacing w:after="0" w:line="240" w:lineRule="auto"/>
      </w:pPr>
      <w:r>
        <w:separator/>
      </w:r>
    </w:p>
  </w:footnote>
  <w:footnote w:type="continuationSeparator" w:id="0">
    <w:p w:rsidR="00FF6B1C" w:rsidRDefault="00FF6B1C" w:rsidP="00CF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BA" w:rsidRDefault="00CF4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28FB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5797A"/>
    <w:multiLevelType w:val="hybridMultilevel"/>
    <w:tmpl w:val="04489B60"/>
    <w:lvl w:ilvl="0" w:tplc="27B6C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096B"/>
    <w:multiLevelType w:val="hybridMultilevel"/>
    <w:tmpl w:val="36189F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10D9"/>
    <w:multiLevelType w:val="hybridMultilevel"/>
    <w:tmpl w:val="D22A2D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21"/>
    <w:rsid w:val="00002603"/>
    <w:rsid w:val="00042335"/>
    <w:rsid w:val="00143544"/>
    <w:rsid w:val="00163EE8"/>
    <w:rsid w:val="00181D43"/>
    <w:rsid w:val="001F16FF"/>
    <w:rsid w:val="001F61AC"/>
    <w:rsid w:val="002141FE"/>
    <w:rsid w:val="00281AD2"/>
    <w:rsid w:val="00282615"/>
    <w:rsid w:val="002A4721"/>
    <w:rsid w:val="00460726"/>
    <w:rsid w:val="004B3339"/>
    <w:rsid w:val="004D50C9"/>
    <w:rsid w:val="005609CB"/>
    <w:rsid w:val="005E5489"/>
    <w:rsid w:val="0069587C"/>
    <w:rsid w:val="007171FA"/>
    <w:rsid w:val="00720E81"/>
    <w:rsid w:val="00763621"/>
    <w:rsid w:val="00770E08"/>
    <w:rsid w:val="007A2D48"/>
    <w:rsid w:val="007B5572"/>
    <w:rsid w:val="008B083F"/>
    <w:rsid w:val="00956211"/>
    <w:rsid w:val="00A50378"/>
    <w:rsid w:val="00A75BB2"/>
    <w:rsid w:val="00AA28EB"/>
    <w:rsid w:val="00AF4C7E"/>
    <w:rsid w:val="00B54307"/>
    <w:rsid w:val="00B946F7"/>
    <w:rsid w:val="00BA30E9"/>
    <w:rsid w:val="00BC40F4"/>
    <w:rsid w:val="00C17421"/>
    <w:rsid w:val="00CF43BA"/>
    <w:rsid w:val="00DA0525"/>
    <w:rsid w:val="00DA23A1"/>
    <w:rsid w:val="00DC72D4"/>
    <w:rsid w:val="00DD6419"/>
    <w:rsid w:val="00E31D61"/>
    <w:rsid w:val="00EC13DA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A702"/>
  <w15:chartTrackingRefBased/>
  <w15:docId w15:val="{1EA2EB95-B001-4D0F-B9D9-F993087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6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7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78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rsid w:val="001F16FF"/>
    <w:pPr>
      <w:numPr>
        <w:numId w:val="4"/>
      </w:numPr>
      <w:spacing w:after="200" w:line="276" w:lineRule="auto"/>
      <w:ind w:left="0" w:firstLine="0"/>
      <w:contextualSpacing/>
    </w:pPr>
    <w:rPr>
      <w:rFonts w:eastAsia="MS Minch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A"/>
  </w:style>
  <w:style w:type="paragraph" w:styleId="Footer">
    <w:name w:val="footer"/>
    <w:basedOn w:val="Normal"/>
    <w:link w:val="FooterChar"/>
    <w:uiPriority w:val="99"/>
    <w:unhideWhenUsed/>
    <w:rsid w:val="00CF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cidc.in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hp1</cp:lastModifiedBy>
  <cp:revision>13</cp:revision>
  <cp:lastPrinted>2025-11-02T06:41:00Z</cp:lastPrinted>
  <dcterms:created xsi:type="dcterms:W3CDTF">2025-09-25T06:21:00Z</dcterms:created>
  <dcterms:modified xsi:type="dcterms:W3CDTF">2025-11-02T07:53:00Z</dcterms:modified>
</cp:coreProperties>
</file>